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413D4" w14:textId="7BE887B0" w:rsidR="003E0254" w:rsidRDefault="003E0254" w:rsidP="0022009D">
      <w:pPr>
        <w:widowControl/>
        <w:numPr>
          <w:ilvl w:val="0"/>
          <w:numId w:val="1"/>
        </w:numPr>
        <w:autoSpaceDE/>
        <w:autoSpaceDN/>
        <w:spacing w:before="240"/>
        <w:ind w:left="426" w:hanging="426"/>
        <w:jc w:val="both"/>
        <w:rPr>
          <w:bCs/>
          <w:spacing w:val="-3"/>
        </w:rPr>
      </w:pPr>
      <w:bookmarkStart w:id="0" w:name="_GoBack"/>
      <w:bookmarkEnd w:id="0"/>
      <w:r>
        <w:rPr>
          <w:bCs/>
          <w:spacing w:val="-3"/>
        </w:rPr>
        <w:t xml:space="preserve">In July 2018, the Premier and Minister for Trade announced an inquiry into the procurement of Queensland’s New Generation Rollingstock (NGR) and their failure to comply with disability legislation. On 1 August 2018, the inquiry and its terms of reference were established under </w:t>
      </w:r>
      <w:r w:rsidRPr="008A728A">
        <w:rPr>
          <w:bCs/>
          <w:i/>
          <w:spacing w:val="-3"/>
        </w:rPr>
        <w:t>Commission of Inquiry Order (No.1) 2018</w:t>
      </w:r>
      <w:r>
        <w:rPr>
          <w:bCs/>
          <w:spacing w:val="-3"/>
        </w:rPr>
        <w:t>.</w:t>
      </w:r>
    </w:p>
    <w:p w14:paraId="4A6C56B4" w14:textId="284AAE26" w:rsidR="00020AAF" w:rsidRDefault="003E0254" w:rsidP="0022009D">
      <w:pPr>
        <w:pStyle w:val="ListParagraph"/>
        <w:numPr>
          <w:ilvl w:val="0"/>
          <w:numId w:val="1"/>
        </w:numPr>
        <w:tabs>
          <w:tab w:val="left" w:pos="582"/>
        </w:tabs>
        <w:spacing w:before="240"/>
        <w:ind w:left="426" w:hanging="426"/>
        <w:jc w:val="both"/>
      </w:pPr>
      <w:r>
        <w:t xml:space="preserve">In </w:t>
      </w:r>
      <w:r w:rsidR="003F17BB">
        <w:rPr>
          <w:spacing w:val="-4"/>
        </w:rPr>
        <w:t xml:space="preserve">December 2018, </w:t>
      </w:r>
      <w:r w:rsidR="003F17BB">
        <w:rPr>
          <w:spacing w:val="-3"/>
        </w:rPr>
        <w:t>the</w:t>
      </w:r>
      <w:r w:rsidR="00BD05BF">
        <w:rPr>
          <w:spacing w:val="-3"/>
        </w:rPr>
        <w:t xml:space="preserve"> </w:t>
      </w:r>
      <w:r w:rsidR="003F17BB">
        <w:rPr>
          <w:spacing w:val="-3"/>
        </w:rPr>
        <w:t xml:space="preserve">New </w:t>
      </w:r>
      <w:r w:rsidR="003F17BB">
        <w:rPr>
          <w:spacing w:val="-4"/>
        </w:rPr>
        <w:t xml:space="preserve">Generation Rollingstock </w:t>
      </w:r>
      <w:r w:rsidR="003F17BB">
        <w:rPr>
          <w:spacing w:val="-3"/>
        </w:rPr>
        <w:t xml:space="preserve">Train </w:t>
      </w:r>
      <w:r w:rsidR="00BD05BF">
        <w:rPr>
          <w:bCs/>
          <w:spacing w:val="-3"/>
        </w:rPr>
        <w:t>Commission of Inquiry presented the</w:t>
      </w:r>
      <w:r w:rsidR="003F17BB">
        <w:rPr>
          <w:spacing w:val="-3"/>
        </w:rPr>
        <w:t xml:space="preserve"> </w:t>
      </w:r>
      <w:r w:rsidR="003F17BB">
        <w:rPr>
          <w:spacing w:val="-4"/>
        </w:rPr>
        <w:t xml:space="preserve">Premier </w:t>
      </w:r>
      <w:r w:rsidR="005134DB">
        <w:rPr>
          <w:spacing w:val="-4"/>
        </w:rPr>
        <w:t>and Minister for Trade</w:t>
      </w:r>
      <w:r w:rsidR="003F17BB">
        <w:rPr>
          <w:spacing w:val="-4"/>
        </w:rPr>
        <w:t xml:space="preserve"> with its final report, and the Premier and Minister for Trade</w:t>
      </w:r>
      <w:r w:rsidR="005134DB">
        <w:rPr>
          <w:spacing w:val="-4"/>
        </w:rPr>
        <w:t xml:space="preserve"> </w:t>
      </w:r>
      <w:r w:rsidR="003F17BB">
        <w:rPr>
          <w:spacing w:val="-3"/>
        </w:rPr>
        <w:t xml:space="preserve">tabled </w:t>
      </w:r>
      <w:r w:rsidR="003F17BB">
        <w:t xml:space="preserve">the </w:t>
      </w:r>
      <w:r w:rsidR="003F17BB">
        <w:rPr>
          <w:spacing w:val="-4"/>
        </w:rPr>
        <w:t xml:space="preserve">government response </w:t>
      </w:r>
      <w:r w:rsidR="003F17BB">
        <w:t xml:space="preserve">to </w:t>
      </w:r>
      <w:r w:rsidR="003F17BB">
        <w:rPr>
          <w:spacing w:val="-4"/>
        </w:rPr>
        <w:t xml:space="preserve">the Commission </w:t>
      </w:r>
      <w:r w:rsidR="003F17BB">
        <w:rPr>
          <w:spacing w:val="-3"/>
        </w:rPr>
        <w:t xml:space="preserve">of </w:t>
      </w:r>
      <w:r w:rsidR="003F17BB">
        <w:rPr>
          <w:spacing w:val="-4"/>
        </w:rPr>
        <w:t xml:space="preserve">Inquiry </w:t>
      </w:r>
      <w:r w:rsidR="003F17BB">
        <w:rPr>
          <w:spacing w:val="-3"/>
        </w:rPr>
        <w:t xml:space="preserve">final </w:t>
      </w:r>
      <w:r w:rsidR="003F17BB">
        <w:rPr>
          <w:spacing w:val="-4"/>
        </w:rPr>
        <w:t xml:space="preserve">report, accepting </w:t>
      </w:r>
      <w:r w:rsidR="003F17BB">
        <w:rPr>
          <w:spacing w:val="-3"/>
        </w:rPr>
        <w:t xml:space="preserve">all </w:t>
      </w:r>
      <w:r w:rsidR="003F17BB">
        <w:t>24</w:t>
      </w:r>
      <w:r w:rsidR="0022009D">
        <w:t> </w:t>
      </w:r>
      <w:r w:rsidR="003F17BB">
        <w:rPr>
          <w:spacing w:val="-4"/>
        </w:rPr>
        <w:t xml:space="preserve">recommendations. </w:t>
      </w:r>
      <w:r w:rsidR="003F17BB">
        <w:rPr>
          <w:spacing w:val="-3"/>
        </w:rPr>
        <w:t xml:space="preserve">These </w:t>
      </w:r>
      <w:r w:rsidR="003F17BB">
        <w:rPr>
          <w:spacing w:val="-4"/>
        </w:rPr>
        <w:t xml:space="preserve">recommendations </w:t>
      </w:r>
      <w:r w:rsidR="003F17BB">
        <w:rPr>
          <w:spacing w:val="-3"/>
        </w:rPr>
        <w:t xml:space="preserve">aim </w:t>
      </w:r>
      <w:r w:rsidR="003F17BB">
        <w:t xml:space="preserve">to </w:t>
      </w:r>
      <w:r w:rsidR="003F17BB">
        <w:rPr>
          <w:spacing w:val="-4"/>
        </w:rPr>
        <w:t xml:space="preserve">ensure </w:t>
      </w:r>
      <w:r w:rsidR="003F17BB">
        <w:rPr>
          <w:spacing w:val="-3"/>
        </w:rPr>
        <w:t xml:space="preserve">that future </w:t>
      </w:r>
      <w:r w:rsidR="003F17BB">
        <w:rPr>
          <w:spacing w:val="-4"/>
        </w:rPr>
        <w:t xml:space="preserve">government projects </w:t>
      </w:r>
      <w:r w:rsidR="003F17BB">
        <w:rPr>
          <w:spacing w:val="-3"/>
        </w:rPr>
        <w:t xml:space="preserve">give due </w:t>
      </w:r>
      <w:r w:rsidR="003F17BB">
        <w:rPr>
          <w:spacing w:val="-4"/>
        </w:rPr>
        <w:t xml:space="preserve">consideration </w:t>
      </w:r>
      <w:r w:rsidR="003F17BB">
        <w:t xml:space="preserve">to </w:t>
      </w:r>
      <w:r w:rsidR="003F17BB">
        <w:rPr>
          <w:spacing w:val="-4"/>
        </w:rPr>
        <w:t xml:space="preserve">accessibility requirements </w:t>
      </w:r>
      <w:r w:rsidR="003F17BB">
        <w:rPr>
          <w:spacing w:val="-3"/>
        </w:rPr>
        <w:t>and</w:t>
      </w:r>
      <w:r w:rsidR="003F17BB">
        <w:rPr>
          <w:spacing w:val="-13"/>
        </w:rPr>
        <w:t xml:space="preserve"> </w:t>
      </w:r>
      <w:r w:rsidR="003F17BB">
        <w:rPr>
          <w:spacing w:val="-4"/>
        </w:rPr>
        <w:t>functionality.</w:t>
      </w:r>
    </w:p>
    <w:p w14:paraId="4A6C56B8" w14:textId="18684A06" w:rsidR="00020AAF" w:rsidRDefault="003F17BB" w:rsidP="0022009D">
      <w:pPr>
        <w:pStyle w:val="ListParagraph"/>
        <w:numPr>
          <w:ilvl w:val="0"/>
          <w:numId w:val="1"/>
        </w:numPr>
        <w:tabs>
          <w:tab w:val="left" w:pos="582"/>
        </w:tabs>
        <w:spacing w:before="240"/>
        <w:ind w:left="426" w:hanging="426"/>
        <w:jc w:val="both"/>
      </w:pPr>
      <w:r>
        <w:rPr>
          <w:spacing w:val="-4"/>
        </w:rPr>
        <w:t xml:space="preserve">Recommendations </w:t>
      </w:r>
      <w:r>
        <w:rPr>
          <w:spacing w:val="-3"/>
        </w:rPr>
        <w:t xml:space="preserve">have been </w:t>
      </w:r>
      <w:r>
        <w:rPr>
          <w:spacing w:val="-4"/>
        </w:rPr>
        <w:t xml:space="preserve">considered </w:t>
      </w:r>
      <w:r>
        <w:t xml:space="preserve">by </w:t>
      </w:r>
      <w:r>
        <w:rPr>
          <w:spacing w:val="-3"/>
        </w:rPr>
        <w:t xml:space="preserve">the </w:t>
      </w:r>
      <w:r>
        <w:rPr>
          <w:spacing w:val="-4"/>
        </w:rPr>
        <w:t xml:space="preserve">relevant lead </w:t>
      </w:r>
      <w:r>
        <w:rPr>
          <w:spacing w:val="-3"/>
        </w:rPr>
        <w:t xml:space="preserve">agency </w:t>
      </w:r>
      <w:r>
        <w:t xml:space="preserve">and an </w:t>
      </w:r>
      <w:r>
        <w:rPr>
          <w:spacing w:val="-4"/>
        </w:rPr>
        <w:t xml:space="preserve">implementation </w:t>
      </w:r>
      <w:r>
        <w:rPr>
          <w:spacing w:val="-3"/>
        </w:rPr>
        <w:t xml:space="preserve">plan put into place. </w:t>
      </w:r>
      <w:r>
        <w:rPr>
          <w:spacing w:val="-4"/>
        </w:rPr>
        <w:t xml:space="preserve">Actions identified will </w:t>
      </w:r>
      <w:r>
        <w:rPr>
          <w:spacing w:val="-3"/>
        </w:rPr>
        <w:t xml:space="preserve">ensure </w:t>
      </w:r>
      <w:r>
        <w:t xml:space="preserve">key </w:t>
      </w:r>
      <w:r>
        <w:rPr>
          <w:spacing w:val="-4"/>
        </w:rPr>
        <w:t xml:space="preserve">decision </w:t>
      </w:r>
      <w:r>
        <w:rPr>
          <w:spacing w:val="-3"/>
        </w:rPr>
        <w:t xml:space="preserve">makers </w:t>
      </w:r>
      <w:r>
        <w:t xml:space="preserve">are </w:t>
      </w:r>
      <w:r>
        <w:rPr>
          <w:spacing w:val="-4"/>
        </w:rPr>
        <w:t xml:space="preserve">equipped </w:t>
      </w:r>
      <w:r>
        <w:rPr>
          <w:spacing w:val="-3"/>
        </w:rPr>
        <w:t xml:space="preserve">with </w:t>
      </w:r>
      <w:r>
        <w:rPr>
          <w:spacing w:val="-4"/>
        </w:rPr>
        <w:t xml:space="preserve">adequate information </w:t>
      </w:r>
      <w:r>
        <w:t xml:space="preserve">to </w:t>
      </w:r>
      <w:r>
        <w:rPr>
          <w:spacing w:val="-3"/>
        </w:rPr>
        <w:t xml:space="preserve">make </w:t>
      </w:r>
      <w:r>
        <w:rPr>
          <w:spacing w:val="-4"/>
        </w:rPr>
        <w:t xml:space="preserve">informed decisions relating </w:t>
      </w:r>
      <w:r>
        <w:t xml:space="preserve">to </w:t>
      </w:r>
      <w:r>
        <w:rPr>
          <w:spacing w:val="-4"/>
        </w:rPr>
        <w:t xml:space="preserve">accessibility legislation </w:t>
      </w:r>
      <w:r>
        <w:rPr>
          <w:spacing w:val="-3"/>
        </w:rPr>
        <w:t xml:space="preserve">and </w:t>
      </w:r>
      <w:r>
        <w:rPr>
          <w:spacing w:val="-4"/>
        </w:rPr>
        <w:t xml:space="preserve">functional requirements. </w:t>
      </w:r>
      <w:r>
        <w:rPr>
          <w:spacing w:val="-3"/>
        </w:rPr>
        <w:t xml:space="preserve">This </w:t>
      </w:r>
      <w:r>
        <w:rPr>
          <w:spacing w:val="-4"/>
        </w:rPr>
        <w:t xml:space="preserve">includes consultation </w:t>
      </w:r>
      <w:r>
        <w:rPr>
          <w:spacing w:val="-3"/>
        </w:rPr>
        <w:t xml:space="preserve">with </w:t>
      </w:r>
      <w:r>
        <w:t xml:space="preserve">the </w:t>
      </w:r>
      <w:r>
        <w:rPr>
          <w:spacing w:val="-4"/>
        </w:rPr>
        <w:t xml:space="preserve">disability sector </w:t>
      </w:r>
      <w:r>
        <w:rPr>
          <w:spacing w:val="-3"/>
        </w:rPr>
        <w:t xml:space="preserve">at </w:t>
      </w:r>
      <w:r>
        <w:t xml:space="preserve">key </w:t>
      </w:r>
      <w:r>
        <w:rPr>
          <w:spacing w:val="-4"/>
        </w:rPr>
        <w:t xml:space="preserve">relevant milestones during </w:t>
      </w:r>
      <w:r>
        <w:rPr>
          <w:spacing w:val="-3"/>
        </w:rPr>
        <w:t xml:space="preserve">the life of </w:t>
      </w:r>
      <w:r>
        <w:t>a</w:t>
      </w:r>
      <w:r>
        <w:rPr>
          <w:spacing w:val="-21"/>
        </w:rPr>
        <w:t xml:space="preserve"> </w:t>
      </w:r>
      <w:r>
        <w:rPr>
          <w:spacing w:val="-4"/>
        </w:rPr>
        <w:t>project.</w:t>
      </w:r>
    </w:p>
    <w:p w14:paraId="4A6C56BA" w14:textId="514883D2" w:rsidR="00020AAF" w:rsidRDefault="003F17BB" w:rsidP="0022009D">
      <w:pPr>
        <w:pStyle w:val="ListParagraph"/>
        <w:numPr>
          <w:ilvl w:val="0"/>
          <w:numId w:val="1"/>
        </w:numPr>
        <w:tabs>
          <w:tab w:val="left" w:pos="582"/>
        </w:tabs>
        <w:spacing w:before="240"/>
        <w:ind w:left="426" w:hanging="426"/>
      </w:pPr>
      <w:r>
        <w:t xml:space="preserve">As at </w:t>
      </w:r>
      <w:r>
        <w:rPr>
          <w:spacing w:val="-3"/>
        </w:rPr>
        <w:t xml:space="preserve">30 </w:t>
      </w:r>
      <w:r>
        <w:rPr>
          <w:spacing w:val="-4"/>
        </w:rPr>
        <w:t xml:space="preserve">September 2019, </w:t>
      </w:r>
      <w:r w:rsidR="008D0EE1">
        <w:rPr>
          <w:spacing w:val="-4"/>
        </w:rPr>
        <w:t xml:space="preserve">17 </w:t>
      </w:r>
      <w:r>
        <w:rPr>
          <w:spacing w:val="-3"/>
        </w:rPr>
        <w:t xml:space="preserve">of the </w:t>
      </w:r>
      <w:r>
        <w:t>24</w:t>
      </w:r>
      <w:r>
        <w:rPr>
          <w:spacing w:val="-31"/>
        </w:rPr>
        <w:t xml:space="preserve"> </w:t>
      </w:r>
      <w:r>
        <w:rPr>
          <w:spacing w:val="-4"/>
        </w:rPr>
        <w:t>recommendations</w:t>
      </w:r>
      <w:r w:rsidR="008D0EE1">
        <w:rPr>
          <w:spacing w:val="-4"/>
        </w:rPr>
        <w:t xml:space="preserve"> ha</w:t>
      </w:r>
      <w:r w:rsidR="0022009D">
        <w:rPr>
          <w:spacing w:val="-4"/>
        </w:rPr>
        <w:t>d</w:t>
      </w:r>
      <w:r w:rsidR="008D0EE1">
        <w:rPr>
          <w:spacing w:val="-4"/>
        </w:rPr>
        <w:t xml:space="preserve"> been implemented.</w:t>
      </w:r>
    </w:p>
    <w:p w14:paraId="4A6C56BF" w14:textId="65E479B5" w:rsidR="00020AAF" w:rsidRPr="000F3D5B" w:rsidRDefault="003F17BB" w:rsidP="0022009D">
      <w:pPr>
        <w:pStyle w:val="ListParagraph"/>
        <w:numPr>
          <w:ilvl w:val="0"/>
          <w:numId w:val="1"/>
        </w:numPr>
        <w:tabs>
          <w:tab w:val="left" w:pos="582"/>
        </w:tabs>
        <w:spacing w:before="240"/>
        <w:ind w:left="426" w:hanging="426"/>
        <w:jc w:val="both"/>
      </w:pPr>
      <w:r w:rsidRPr="004D1858">
        <w:rPr>
          <w:spacing w:val="-4"/>
          <w:u w:val="single"/>
        </w:rPr>
        <w:t xml:space="preserve">Cabinet </w:t>
      </w:r>
      <w:r w:rsidRPr="004D1858">
        <w:rPr>
          <w:spacing w:val="-3"/>
          <w:u w:val="single"/>
        </w:rPr>
        <w:t>noted</w:t>
      </w:r>
      <w:r w:rsidRPr="00F02B98">
        <w:rPr>
          <w:spacing w:val="-3"/>
        </w:rPr>
        <w:t xml:space="preserve"> </w:t>
      </w:r>
      <w:r>
        <w:t xml:space="preserve">the </w:t>
      </w:r>
      <w:r w:rsidRPr="00F02B98">
        <w:rPr>
          <w:spacing w:val="-4"/>
        </w:rPr>
        <w:t xml:space="preserve">implementation </w:t>
      </w:r>
      <w:r w:rsidRPr="00F02B98">
        <w:rPr>
          <w:spacing w:val="-3"/>
        </w:rPr>
        <w:t>status</w:t>
      </w:r>
      <w:r w:rsidRPr="00F02B98">
        <w:rPr>
          <w:spacing w:val="-25"/>
        </w:rPr>
        <w:t xml:space="preserve"> </w:t>
      </w:r>
      <w:r w:rsidRPr="00F02B98">
        <w:rPr>
          <w:spacing w:val="-4"/>
        </w:rPr>
        <w:t>updates</w:t>
      </w:r>
      <w:r w:rsidR="00F02B98" w:rsidRPr="00F02B98">
        <w:rPr>
          <w:spacing w:val="-4"/>
        </w:rPr>
        <w:t xml:space="preserve"> </w:t>
      </w:r>
      <w:r w:rsidR="008D0EE1" w:rsidRPr="00F02B98">
        <w:rPr>
          <w:spacing w:val="-4"/>
        </w:rPr>
        <w:t>for the 24 recommendations resulting from the New Generation Rollingstock Train Commission of Inquiry.</w:t>
      </w:r>
    </w:p>
    <w:p w14:paraId="0F95B3E2" w14:textId="77777777" w:rsidR="000F3D5B" w:rsidRPr="00397C44" w:rsidRDefault="000F3D5B" w:rsidP="0022009D">
      <w:pPr>
        <w:widowControl/>
        <w:numPr>
          <w:ilvl w:val="0"/>
          <w:numId w:val="1"/>
        </w:numPr>
        <w:autoSpaceDE/>
        <w:autoSpaceDN/>
        <w:spacing w:before="360"/>
        <w:ind w:left="426" w:hanging="426"/>
        <w:jc w:val="both"/>
        <w:rPr>
          <w:bCs/>
          <w:spacing w:val="-3"/>
        </w:rPr>
      </w:pPr>
      <w:r w:rsidRPr="00EA302A">
        <w:rPr>
          <w:bCs/>
          <w:i/>
          <w:spacing w:val="-3"/>
          <w:u w:val="single"/>
        </w:rPr>
        <w:t>Attachments</w:t>
      </w:r>
    </w:p>
    <w:p w14:paraId="676101FA" w14:textId="7BFD7BE7" w:rsidR="000F3D5B" w:rsidRPr="000F3D5B" w:rsidRDefault="000F3D5B" w:rsidP="0022009D">
      <w:pPr>
        <w:pStyle w:val="ListParagraph"/>
        <w:widowControl/>
        <w:numPr>
          <w:ilvl w:val="0"/>
          <w:numId w:val="4"/>
        </w:numPr>
        <w:autoSpaceDE/>
        <w:autoSpaceDN/>
        <w:spacing w:before="120"/>
        <w:ind w:left="426" w:firstLine="0"/>
        <w:rPr>
          <w:color w:val="000000" w:themeColor="text1"/>
        </w:rPr>
      </w:pPr>
      <w:r w:rsidRPr="000F3D5B">
        <w:rPr>
          <w:rStyle w:val="Hyperlink"/>
          <w:color w:val="000000" w:themeColor="text1"/>
          <w:u w:val="none"/>
        </w:rPr>
        <w:t>Nil.</w:t>
      </w:r>
    </w:p>
    <w:sectPr w:rsidR="000F3D5B" w:rsidRPr="000F3D5B" w:rsidSect="00074464">
      <w:headerReference w:type="default" r:id="rId10"/>
      <w:type w:val="continuous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06D6A" w14:textId="77777777" w:rsidR="00030F1A" w:rsidRDefault="00030F1A" w:rsidP="00074464">
      <w:r>
        <w:separator/>
      </w:r>
    </w:p>
  </w:endnote>
  <w:endnote w:type="continuationSeparator" w:id="0">
    <w:p w14:paraId="45963DB7" w14:textId="77777777" w:rsidR="00030F1A" w:rsidRDefault="00030F1A" w:rsidP="0007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33EBC" w14:textId="77777777" w:rsidR="00030F1A" w:rsidRDefault="00030F1A" w:rsidP="00074464">
      <w:r>
        <w:separator/>
      </w:r>
    </w:p>
  </w:footnote>
  <w:footnote w:type="continuationSeparator" w:id="0">
    <w:p w14:paraId="018082A3" w14:textId="77777777" w:rsidR="00030F1A" w:rsidRDefault="00030F1A" w:rsidP="0007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D259" w14:textId="77777777" w:rsidR="00074464" w:rsidRPr="00937A4A" w:rsidRDefault="00074464" w:rsidP="000744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0CA18B8F" w14:textId="77777777" w:rsidR="00074464" w:rsidRPr="00937A4A" w:rsidRDefault="00074464" w:rsidP="000744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2C739DBB" w14:textId="08EE31B9" w:rsidR="00074464" w:rsidRPr="00937A4A" w:rsidRDefault="00074464" w:rsidP="000744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>
      <w:rPr>
        <w:b/>
        <w:lang w:eastAsia="en-US"/>
      </w:rPr>
      <w:t>September 2019</w:t>
    </w:r>
  </w:p>
  <w:p w14:paraId="6A76CBEC" w14:textId="0F64DF39" w:rsidR="00074464" w:rsidRDefault="00074464" w:rsidP="00074464">
    <w:pPr>
      <w:pStyle w:val="Header"/>
      <w:spacing w:before="120"/>
      <w:rPr>
        <w:b/>
        <w:u w:val="single"/>
      </w:rPr>
    </w:pPr>
    <w:r>
      <w:rPr>
        <w:b/>
        <w:u w:val="single"/>
      </w:rPr>
      <w:t>Implementation status of recommendations from the New Generation Rollingstock Train Commission of Inquiry</w:t>
    </w:r>
  </w:p>
  <w:p w14:paraId="6A7A1764" w14:textId="3AEA1782" w:rsidR="00074464" w:rsidRDefault="00074464" w:rsidP="00074464">
    <w:pPr>
      <w:pStyle w:val="Header"/>
      <w:spacing w:before="120"/>
      <w:rPr>
        <w:b/>
        <w:u w:val="single"/>
      </w:rPr>
    </w:pPr>
    <w:r>
      <w:rPr>
        <w:b/>
        <w:u w:val="single"/>
      </w:rPr>
      <w:t>Minister for Transport and Main Roads</w:t>
    </w:r>
  </w:p>
  <w:p w14:paraId="68E03E6D" w14:textId="77777777" w:rsidR="00074464" w:rsidRDefault="00074464" w:rsidP="0007446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547C7"/>
    <w:multiLevelType w:val="hybridMultilevel"/>
    <w:tmpl w:val="CB96DAB2"/>
    <w:lvl w:ilvl="0" w:tplc="7480F51A">
      <w:start w:val="1"/>
      <w:numFmt w:val="decimal"/>
      <w:lvlText w:val="%1."/>
      <w:lvlJc w:val="left"/>
      <w:pPr>
        <w:ind w:left="584" w:hanging="356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956CFAFE">
      <w:numFmt w:val="bullet"/>
      <w:lvlText w:val=""/>
      <w:lvlJc w:val="left"/>
      <w:pPr>
        <w:ind w:left="942" w:hanging="358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79589DC4">
      <w:numFmt w:val="bullet"/>
      <w:lvlText w:val="•"/>
      <w:lvlJc w:val="left"/>
      <w:pPr>
        <w:ind w:left="1925" w:hanging="358"/>
      </w:pPr>
      <w:rPr>
        <w:rFonts w:hint="default"/>
        <w:lang w:val="en-AU" w:eastAsia="en-AU" w:bidi="en-AU"/>
      </w:rPr>
    </w:lvl>
    <w:lvl w:ilvl="3" w:tplc="D2CA1AA6">
      <w:numFmt w:val="bullet"/>
      <w:lvlText w:val="•"/>
      <w:lvlJc w:val="left"/>
      <w:pPr>
        <w:ind w:left="2910" w:hanging="358"/>
      </w:pPr>
      <w:rPr>
        <w:rFonts w:hint="default"/>
        <w:lang w:val="en-AU" w:eastAsia="en-AU" w:bidi="en-AU"/>
      </w:rPr>
    </w:lvl>
    <w:lvl w:ilvl="4" w:tplc="B5527C88">
      <w:numFmt w:val="bullet"/>
      <w:lvlText w:val="•"/>
      <w:lvlJc w:val="left"/>
      <w:pPr>
        <w:ind w:left="3895" w:hanging="358"/>
      </w:pPr>
      <w:rPr>
        <w:rFonts w:hint="default"/>
        <w:lang w:val="en-AU" w:eastAsia="en-AU" w:bidi="en-AU"/>
      </w:rPr>
    </w:lvl>
    <w:lvl w:ilvl="5" w:tplc="0ED6A6BC">
      <w:numFmt w:val="bullet"/>
      <w:lvlText w:val="•"/>
      <w:lvlJc w:val="left"/>
      <w:pPr>
        <w:ind w:left="4880" w:hanging="358"/>
      </w:pPr>
      <w:rPr>
        <w:rFonts w:hint="default"/>
        <w:lang w:val="en-AU" w:eastAsia="en-AU" w:bidi="en-AU"/>
      </w:rPr>
    </w:lvl>
    <w:lvl w:ilvl="6" w:tplc="F37A2A80">
      <w:numFmt w:val="bullet"/>
      <w:lvlText w:val="•"/>
      <w:lvlJc w:val="left"/>
      <w:pPr>
        <w:ind w:left="5865" w:hanging="358"/>
      </w:pPr>
      <w:rPr>
        <w:rFonts w:hint="default"/>
        <w:lang w:val="en-AU" w:eastAsia="en-AU" w:bidi="en-AU"/>
      </w:rPr>
    </w:lvl>
    <w:lvl w:ilvl="7" w:tplc="BF026362">
      <w:numFmt w:val="bullet"/>
      <w:lvlText w:val="•"/>
      <w:lvlJc w:val="left"/>
      <w:pPr>
        <w:ind w:left="6850" w:hanging="358"/>
      </w:pPr>
      <w:rPr>
        <w:rFonts w:hint="default"/>
        <w:lang w:val="en-AU" w:eastAsia="en-AU" w:bidi="en-AU"/>
      </w:rPr>
    </w:lvl>
    <w:lvl w:ilvl="8" w:tplc="18780A1E">
      <w:numFmt w:val="bullet"/>
      <w:lvlText w:val="•"/>
      <w:lvlJc w:val="left"/>
      <w:pPr>
        <w:ind w:left="7836" w:hanging="358"/>
      </w:pPr>
      <w:rPr>
        <w:rFonts w:hint="default"/>
        <w:lang w:val="en-AU" w:eastAsia="en-AU" w:bidi="en-AU"/>
      </w:rPr>
    </w:lvl>
  </w:abstractNum>
  <w:abstractNum w:abstractNumId="1" w15:restartNumberingAfterBreak="0">
    <w:nsid w:val="46864E4F"/>
    <w:multiLevelType w:val="hybridMultilevel"/>
    <w:tmpl w:val="F8C8CE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AAF"/>
    <w:rsid w:val="00020AAF"/>
    <w:rsid w:val="000266E0"/>
    <w:rsid w:val="00030F1A"/>
    <w:rsid w:val="00074464"/>
    <w:rsid w:val="000B060B"/>
    <w:rsid w:val="000F3D5B"/>
    <w:rsid w:val="00106EF8"/>
    <w:rsid w:val="0022009D"/>
    <w:rsid w:val="003E0254"/>
    <w:rsid w:val="003F17BB"/>
    <w:rsid w:val="004941F0"/>
    <w:rsid w:val="004D1858"/>
    <w:rsid w:val="005134DB"/>
    <w:rsid w:val="00743E8D"/>
    <w:rsid w:val="008D0EE1"/>
    <w:rsid w:val="00BD05BF"/>
    <w:rsid w:val="00C1374C"/>
    <w:rsid w:val="00D2538F"/>
    <w:rsid w:val="00D27E05"/>
    <w:rsid w:val="00F02B98"/>
    <w:rsid w:val="00F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5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94"/>
      <w:ind w:left="22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82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F3D5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EF8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EF8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F8"/>
    <w:rPr>
      <w:rFonts w:ascii="Segoe UI" w:eastAsia="Arial" w:hAnsi="Segoe UI" w:cs="Segoe UI"/>
      <w:sz w:val="18"/>
      <w:szCs w:val="18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074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46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0744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464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DF81A-C9D4-4036-BD3F-DF553D9B7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4EDEBA-3332-46F8-AAE8-4F774C171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92F29-6E3F-429A-AF99-EC89B9C542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1211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Base>https://www.cabinet.qld.gov.au/documents/2019/Sep/NGRstat/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dcterms:created xsi:type="dcterms:W3CDTF">2019-09-11T03:47:00Z</dcterms:created>
  <dcterms:modified xsi:type="dcterms:W3CDTF">2020-02-03T10:53:00Z</dcterms:modified>
  <cp:category>Transport,Disability_Services,Rail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2019-09-11T00:00:00Z</vt:filetime>
  </property>
  <property fmtid="{D5CDD505-2E9C-101B-9397-08002B2CF9AE}" pid="4" name="ContentTypeId">
    <vt:lpwstr>0x010100DDE14CFDD070B24F85F5DE43654FF01E</vt:lpwstr>
  </property>
</Properties>
</file>